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068" w:rsidRDefault="004A3068" w:rsidP="00D930A5"/>
    <w:p w:rsidR="004A3068" w:rsidRDefault="00CF07B4">
      <w:pPr>
        <w:pStyle w:val="Lijn"/>
        <w:jc w:val="center"/>
        <w:rPr>
          <w:b/>
          <w:bCs/>
          <w:sz w:val="24"/>
        </w:rPr>
      </w:pPr>
      <w:r>
        <w:rPr>
          <w:b/>
          <w:bCs/>
          <w:sz w:val="24"/>
        </w:rPr>
        <w:fldChar w:fldCharType="begin"/>
      </w:r>
      <w:r>
        <w:rPr>
          <w:b/>
          <w:bCs/>
          <w:sz w:val="24"/>
        </w:rPr>
        <w:instrText xml:space="preserve"> ADVANCE \y 120 </w:instrText>
      </w:r>
      <w:r>
        <w:rPr>
          <w:b/>
          <w:bCs/>
          <w:sz w:val="24"/>
        </w:rPr>
        <w:fldChar w:fldCharType="end"/>
      </w:r>
      <w:r>
        <w:rPr>
          <w:b/>
          <w:bCs/>
          <w:sz w:val="24"/>
        </w:rPr>
        <w:t>Interne Memo</w:t>
      </w:r>
    </w:p>
    <w:p w:rsidR="004A3068" w:rsidRDefault="004A3068">
      <w:pPr>
        <w:pStyle w:val="Koptekst"/>
        <w:tabs>
          <w:tab w:val="clear" w:pos="4536"/>
          <w:tab w:val="clear" w:pos="9072"/>
        </w:tabs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7664"/>
      </w:tblGrid>
      <w:tr w:rsidR="004A3068">
        <w:tc>
          <w:tcPr>
            <w:tcW w:w="1548" w:type="dxa"/>
          </w:tcPr>
          <w:p w:rsidR="004A3068" w:rsidRDefault="00CF07B4">
            <w:r>
              <w:t>Aan:</w:t>
            </w:r>
          </w:p>
        </w:tc>
        <w:tc>
          <w:tcPr>
            <w:tcW w:w="7664" w:type="dxa"/>
          </w:tcPr>
          <w:p w:rsidR="004A3068" w:rsidRDefault="00D930A5">
            <w:r>
              <w:t>Leden Adviesgroep Informatievoorziening KING</w:t>
            </w:r>
          </w:p>
        </w:tc>
      </w:tr>
      <w:tr w:rsidR="004A3068">
        <w:tc>
          <w:tcPr>
            <w:tcW w:w="1548" w:type="dxa"/>
          </w:tcPr>
          <w:p w:rsidR="004A3068" w:rsidRDefault="00CF07B4">
            <w:r>
              <w:t>Van:</w:t>
            </w:r>
          </w:p>
        </w:tc>
        <w:tc>
          <w:tcPr>
            <w:tcW w:w="7664" w:type="dxa"/>
          </w:tcPr>
          <w:p w:rsidR="004A3068" w:rsidRDefault="00D930A5" w:rsidP="00D930A5">
            <w:r>
              <w:t xml:space="preserve">Rob </w:t>
            </w:r>
            <w:proofErr w:type="spellStart"/>
            <w:r>
              <w:t>Heimering</w:t>
            </w:r>
            <w:proofErr w:type="spellEnd"/>
          </w:p>
        </w:tc>
      </w:tr>
      <w:tr w:rsidR="004A3068">
        <w:tc>
          <w:tcPr>
            <w:tcW w:w="1548" w:type="dxa"/>
          </w:tcPr>
          <w:p w:rsidR="004A3068" w:rsidRDefault="00CF07B4">
            <w:r>
              <w:t>Datum:</w:t>
            </w:r>
          </w:p>
        </w:tc>
        <w:tc>
          <w:tcPr>
            <w:tcW w:w="7664" w:type="dxa"/>
          </w:tcPr>
          <w:p w:rsidR="004A3068" w:rsidRDefault="00D930A5">
            <w:r>
              <w:t>18 april 2017</w:t>
            </w:r>
          </w:p>
        </w:tc>
      </w:tr>
      <w:tr w:rsidR="004A3068">
        <w:tc>
          <w:tcPr>
            <w:tcW w:w="1548" w:type="dxa"/>
          </w:tcPr>
          <w:p w:rsidR="004A3068" w:rsidRDefault="00CF07B4">
            <w:r>
              <w:t>Onderwerp:</w:t>
            </w:r>
          </w:p>
        </w:tc>
        <w:tc>
          <w:tcPr>
            <w:tcW w:w="7664" w:type="dxa"/>
          </w:tcPr>
          <w:p w:rsidR="004A3068" w:rsidRDefault="00D930A5">
            <w:r>
              <w:t>overzicht informatiebronnen Cloud vraagstuk</w:t>
            </w:r>
            <w:r w:rsidR="00526DCC">
              <w:t>k</w:t>
            </w:r>
            <w:r>
              <w:t xml:space="preserve">en </w:t>
            </w:r>
          </w:p>
        </w:tc>
      </w:tr>
    </w:tbl>
    <w:p w:rsidR="004A3068" w:rsidRDefault="004A3068">
      <w:pPr>
        <w:pStyle w:val="Lijn"/>
      </w:pPr>
    </w:p>
    <w:p w:rsidR="004A3068" w:rsidRDefault="004A3068"/>
    <w:p w:rsidR="00D930A5" w:rsidRDefault="00D930A5">
      <w:r>
        <w:t>Collega’s,</w:t>
      </w:r>
    </w:p>
    <w:p w:rsidR="00D930A5" w:rsidRDefault="00D930A5"/>
    <w:p w:rsidR="00D930A5" w:rsidRDefault="00D930A5">
      <w:r>
        <w:t>Afgelopen weken heb ik van jullie de volgende informatie bronnen on</w:t>
      </w:r>
      <w:r w:rsidR="00B12EB1">
        <w:t>tvangen over Cloud vraagstukken. In dit document heb ik de tekstuele opmerkinge</w:t>
      </w:r>
      <w:r w:rsidR="00526DCC">
        <w:t>n</w:t>
      </w:r>
      <w:r w:rsidR="00B12EB1">
        <w:t xml:space="preserve"> die jullie bij de verschillende documenten hebben meegegeven overgenomen en daar waar van toepassing alle linkjes overgenomen. </w:t>
      </w:r>
    </w:p>
    <w:p w:rsidR="00B12EB1" w:rsidRDefault="00B12EB1">
      <w:r>
        <w:t>Ik heb de documenten nog niet inhoudelijk bekeken, laat staan er iets mee gedaan.</w:t>
      </w:r>
    </w:p>
    <w:p w:rsidR="00B12EB1" w:rsidRDefault="00B12EB1">
      <w:r>
        <w:t xml:space="preserve">Als het </w:t>
      </w:r>
      <w:r w:rsidR="00526DCC">
        <w:t xml:space="preserve">gelukt is, staan </w:t>
      </w:r>
      <w:r>
        <w:t xml:space="preserve">alle documenten </w:t>
      </w:r>
      <w:r w:rsidR="00526DCC">
        <w:t xml:space="preserve">gezipt </w:t>
      </w:r>
      <w:r>
        <w:t>op onze Gemma-online omgeving.</w:t>
      </w:r>
      <w:bookmarkStart w:id="0" w:name="_GoBack"/>
      <w:bookmarkEnd w:id="0"/>
    </w:p>
    <w:p w:rsidR="00D930A5" w:rsidRDefault="00D930A5"/>
    <w:p w:rsidR="00B12EB1" w:rsidRDefault="00B12EB1">
      <w:r>
        <w:t>***************************</w:t>
      </w:r>
    </w:p>
    <w:p w:rsidR="00B12EB1" w:rsidRDefault="00B12EB1"/>
    <w:p w:rsidR="00D930A5" w:rsidRPr="00D930A5" w:rsidRDefault="00D930A5" w:rsidP="00D930A5">
      <w:r w:rsidRPr="00D930A5">
        <w:t xml:space="preserve">1. Er is een onderzoek van KPMG in opdracht van Microsoft. Hierin onderzoeken zij in hoeverre office 365 en </w:t>
      </w:r>
      <w:proofErr w:type="spellStart"/>
      <w:r w:rsidRPr="00D930A5">
        <w:t>Azure</w:t>
      </w:r>
      <w:proofErr w:type="spellEnd"/>
      <w:r w:rsidRPr="00D930A5">
        <w:t xml:space="preserve"> </w:t>
      </w:r>
      <w:r w:rsidR="0040533B">
        <w:t xml:space="preserve"> </w:t>
      </w:r>
      <w:r w:rsidRPr="00D930A5">
        <w:t xml:space="preserve">voldoen aan de NEN 7510 normen. </w:t>
      </w:r>
    </w:p>
    <w:p w:rsidR="0040533B" w:rsidRDefault="00D930A5">
      <w:r w:rsidRPr="00D930A5">
        <w:t>Allereerst heeft KPMG heeft onze voorwaarden getoetst aan de BIR. Dit is natuurlijk niet de BI</w:t>
      </w:r>
      <w:r>
        <w:t xml:space="preserve">G, maar deze is nauw verbonden : </w:t>
      </w:r>
    </w:p>
    <w:p w:rsidR="00B12EB1" w:rsidRPr="00B12EB1" w:rsidRDefault="00B12EB1" w:rsidP="00B12EB1">
      <w:pPr>
        <w:rPr>
          <w:rFonts w:ascii="Calibri" w:hAnsi="Calibri"/>
          <w:sz w:val="22"/>
          <w:szCs w:val="22"/>
          <w:lang w:val="en-US" w:eastAsia="en-US"/>
        </w:rPr>
      </w:pPr>
      <w:hyperlink r:id="rId7" w:history="1">
        <w:r w:rsidRPr="00B12EB1">
          <w:rPr>
            <w:rStyle w:val="Hyperlink"/>
            <w:rFonts w:cs="Arial"/>
            <w:sz w:val="22"/>
            <w:szCs w:val="22"/>
            <w:lang w:val="en-US" w:eastAsia="en-US"/>
          </w:rPr>
          <w:t>Microsoft Cloud - Azure and Office 365 BIR-2012 Baseline Coverage.pdf</w:t>
        </w:r>
      </w:hyperlink>
      <w:r w:rsidRPr="00B12EB1">
        <w:rPr>
          <w:rFonts w:ascii="Wingdings" w:hAnsi="Wingdings"/>
          <w:sz w:val="22"/>
          <w:szCs w:val="22"/>
          <w:lang w:eastAsia="en-US"/>
        </w:rPr>
        <w:t></w:t>
      </w:r>
      <w:r w:rsidRPr="00B12EB1">
        <w:rPr>
          <w:rFonts w:ascii="Calibri" w:hAnsi="Calibri"/>
          <w:sz w:val="22"/>
          <w:szCs w:val="22"/>
          <w:lang w:val="en-US" w:eastAsia="en-US"/>
        </w:rPr>
        <w:t xml:space="preserve"> </w:t>
      </w:r>
      <w:proofErr w:type="spellStart"/>
      <w:r w:rsidRPr="00B12EB1">
        <w:rPr>
          <w:rFonts w:ascii="Calibri" w:hAnsi="Calibri"/>
          <w:sz w:val="22"/>
          <w:szCs w:val="22"/>
          <w:lang w:val="en-US" w:eastAsia="en-US"/>
        </w:rPr>
        <w:t>Assesment</w:t>
      </w:r>
      <w:proofErr w:type="spellEnd"/>
      <w:r w:rsidRPr="00B12EB1">
        <w:rPr>
          <w:rFonts w:ascii="Calibri" w:hAnsi="Calibri"/>
          <w:sz w:val="22"/>
          <w:szCs w:val="22"/>
          <w:lang w:val="en-US" w:eastAsia="en-US"/>
        </w:rPr>
        <w:t xml:space="preserve"> Report </w:t>
      </w:r>
      <w:r w:rsidRPr="00B12EB1">
        <w:rPr>
          <w:rFonts w:ascii="Wingdings" w:hAnsi="Wingdings"/>
          <w:sz w:val="22"/>
          <w:szCs w:val="22"/>
          <w:lang w:eastAsia="en-US"/>
        </w:rPr>
        <w:t></w:t>
      </w:r>
      <w:r w:rsidRPr="00B12EB1">
        <w:rPr>
          <w:rFonts w:ascii="Calibri" w:hAnsi="Calibri"/>
          <w:sz w:val="22"/>
          <w:szCs w:val="22"/>
          <w:lang w:val="en-US" w:eastAsia="en-US"/>
        </w:rPr>
        <w:t xml:space="preserve"> Microsoft Cloud - Azure and Office 365 NEN7510-2011 Standard Coverage</w:t>
      </w:r>
    </w:p>
    <w:p w:rsidR="0040533B" w:rsidRPr="00B12EB1" w:rsidRDefault="00B12EB1">
      <w:pPr>
        <w:rPr>
          <w:rFonts w:ascii="Calibri" w:hAnsi="Calibri"/>
          <w:sz w:val="22"/>
          <w:szCs w:val="22"/>
          <w:lang w:val="en-US" w:eastAsia="en-US"/>
        </w:rPr>
      </w:pPr>
      <w:r w:rsidRPr="00B12EB1">
        <w:rPr>
          <w:rFonts w:ascii="Calibri" w:hAnsi="Calibri"/>
          <w:sz w:val="22"/>
          <w:szCs w:val="22"/>
          <w:lang w:val="en-US" w:eastAsia="en-US"/>
        </w:rPr>
        <w:t> </w:t>
      </w:r>
    </w:p>
    <w:p w:rsidR="00D930A5" w:rsidRPr="00D930A5" w:rsidRDefault="00D930A5">
      <w:r w:rsidRPr="00D930A5">
        <w:t xml:space="preserve">2. </w:t>
      </w:r>
      <w:r>
        <w:t>Advocatenkantoor dat dit onderwerp als deskundigheid etaleert:</w:t>
      </w:r>
      <w:r w:rsidRPr="00D930A5">
        <w:br/>
      </w:r>
      <w:hyperlink r:id="rId8" w:history="1">
        <w:r w:rsidRPr="00D930A5">
          <w:rPr>
            <w:rStyle w:val="Hyperlink"/>
          </w:rPr>
          <w:t>http://www.pelsrijcken.nl/actueel/persberichten/dataopslag-in-de-cloud-voor-gemeenten-weer-een-stap-dichterbij/</w:t>
        </w:r>
      </w:hyperlink>
    </w:p>
    <w:p w:rsidR="00D930A5" w:rsidRDefault="00D930A5">
      <w:r w:rsidRPr="00D930A5">
        <w:t xml:space="preserve">3. </w:t>
      </w:r>
      <w:r>
        <w:t xml:space="preserve">Een rapport uit 2014 waarin de mogelijkheid/wenselijkheid van clouddiensten voor het rijk zijn uitgewerkt. Interessant is ook de opsomming van zaken die in een overeenkomst geregeld moeten worden en het </w:t>
      </w:r>
      <w:proofErr w:type="spellStart"/>
      <w:r>
        <w:t>verrifieren</w:t>
      </w:r>
      <w:proofErr w:type="spellEnd"/>
      <w:r>
        <w:t xml:space="preserve"> van het nakomen van contractafspraken door de leverancier:</w:t>
      </w:r>
    </w:p>
    <w:p w:rsidR="00D930A5" w:rsidRPr="00D930A5" w:rsidRDefault="00E7085D">
      <w:hyperlink r:id="rId9" w:history="1">
        <w:r w:rsidR="00D930A5" w:rsidRPr="00D930A5">
          <w:rPr>
            <w:rStyle w:val="Hyperlink"/>
          </w:rPr>
          <w:t>https://cip-overheid.nl/wp-content/uploads/2014/08/Clouddiensten-van-de-Rijksoverheid-en-de-rol-van-de-IT-auditor-1.0.pdf</w:t>
        </w:r>
      </w:hyperlink>
    </w:p>
    <w:p w:rsidR="00D930A5" w:rsidRDefault="00D930A5">
      <w:r w:rsidRPr="00D930A5">
        <w:t xml:space="preserve"> </w:t>
      </w:r>
    </w:p>
    <w:p w:rsidR="00D930A5" w:rsidRDefault="00D930A5"/>
    <w:p w:rsidR="00B12EB1" w:rsidRDefault="00B12EB1" w:rsidP="00B12EB1">
      <w:pPr>
        <w:autoSpaceDE w:val="0"/>
        <w:autoSpaceDN w:val="0"/>
        <w:adjustRightInd w:val="0"/>
        <w:rPr>
          <w:rFonts w:cs="Arial"/>
          <w:b/>
          <w:bCs/>
          <w:color w:val="000000"/>
          <w:sz w:val="20"/>
        </w:rPr>
      </w:pPr>
      <w:r>
        <w:rPr>
          <w:rFonts w:cs="Arial"/>
          <w:b/>
          <w:bCs/>
          <w:color w:val="000000"/>
          <w:sz w:val="20"/>
        </w:rPr>
        <w:t>16-0603-Cloud-computing_v1.2 – Handreiking Cloud Computing IBD (juni 2016)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 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De handreiking van de IBD is geen juridisch sluitend stuk en bevat verwijzingen naar andere documenten zoals wet- en regelgeving en wetenschappelijke onderzoeken. 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Het fenomeen </w:t>
      </w:r>
      <w:proofErr w:type="spellStart"/>
      <w:r>
        <w:rPr>
          <w:rFonts w:cs="Arial"/>
          <w:color w:val="000000"/>
          <w:sz w:val="20"/>
        </w:rPr>
        <w:t>cloud</w:t>
      </w:r>
      <w:proofErr w:type="spellEnd"/>
      <w:r>
        <w:rPr>
          <w:rFonts w:cs="Arial"/>
          <w:color w:val="000000"/>
          <w:sz w:val="20"/>
        </w:rPr>
        <w:t xml:space="preserve"> wordt toegelicht, voor/nadelen en risico’s worden benoemd, maar specifieke maatregelen die je kan/moet nemen blijven onderbelicht. 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 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Het document eindigt met een voorstel voor “Gemeentelijk Cloud computing beleid”, zonder aan te geven waar evt. aandachtspunten bevinden en in hoeverre hiermee </w:t>
      </w:r>
      <w:proofErr w:type="spellStart"/>
      <w:r>
        <w:rPr>
          <w:rFonts w:cs="Arial"/>
          <w:color w:val="000000"/>
          <w:sz w:val="20"/>
        </w:rPr>
        <w:t>compliancy</w:t>
      </w:r>
      <w:proofErr w:type="spellEnd"/>
      <w:r>
        <w:rPr>
          <w:rFonts w:cs="Arial"/>
          <w:color w:val="000000"/>
          <w:sz w:val="20"/>
        </w:rPr>
        <w:t xml:space="preserve"> wordt bereikt. 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 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b/>
          <w:bCs/>
          <w:color w:val="000000"/>
          <w:sz w:val="20"/>
        </w:rPr>
      </w:pPr>
      <w:r>
        <w:rPr>
          <w:rFonts w:cs="Arial"/>
          <w:b/>
          <w:bCs/>
          <w:color w:val="000000"/>
          <w:sz w:val="20"/>
        </w:rPr>
        <w:t>13-0919-voorbeeld-informatiebeveiligingsbeleid-gemeenten-1.0.pdf - VOORBEELD INFORMATIEBEVEILIGINGSBELEID GEMEENTEN (augustus 2013)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 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Een voorbeeld Informatiebeveiligingsbeleidsplan voor gemeenten.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Beperkt aandacht voor </w:t>
      </w:r>
      <w:proofErr w:type="spellStart"/>
      <w:r>
        <w:rPr>
          <w:rFonts w:cs="Arial"/>
          <w:color w:val="000000"/>
          <w:sz w:val="20"/>
        </w:rPr>
        <w:t>cloud</w:t>
      </w:r>
      <w:proofErr w:type="spellEnd"/>
      <w:r>
        <w:rPr>
          <w:rFonts w:cs="Arial"/>
          <w:color w:val="000000"/>
          <w:sz w:val="20"/>
        </w:rPr>
        <w:t xml:space="preserve">. Op blz. 16 wordt verwezen naar een </w:t>
      </w:r>
      <w:proofErr w:type="spellStart"/>
      <w:r>
        <w:rPr>
          <w:rFonts w:cs="Arial"/>
          <w:color w:val="000000"/>
          <w:sz w:val="20"/>
        </w:rPr>
        <w:t>whitepaper</w:t>
      </w:r>
      <w:proofErr w:type="spellEnd"/>
      <w:r>
        <w:rPr>
          <w:rFonts w:cs="Arial"/>
          <w:color w:val="000000"/>
          <w:sz w:val="20"/>
        </w:rPr>
        <w:t xml:space="preserve"> van de NCSC. De link werkt niet meer. 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Weinig tot geen specifieke maatregelen rondom gebruik Cloud.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 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lastRenderedPageBreak/>
        <w:t xml:space="preserve"> </w:t>
      </w:r>
    </w:p>
    <w:p w:rsidR="00B12EB1" w:rsidRPr="00B12EB1" w:rsidRDefault="00B12EB1" w:rsidP="00B12EB1">
      <w:pPr>
        <w:autoSpaceDE w:val="0"/>
        <w:autoSpaceDN w:val="0"/>
        <w:adjustRightInd w:val="0"/>
        <w:rPr>
          <w:rFonts w:cs="Arial"/>
          <w:b/>
          <w:bCs/>
          <w:color w:val="000000"/>
          <w:sz w:val="20"/>
          <w:lang w:val="en-US"/>
        </w:rPr>
      </w:pPr>
      <w:r w:rsidRPr="00B12EB1">
        <w:rPr>
          <w:rFonts w:cs="Arial"/>
          <w:b/>
          <w:bCs/>
          <w:color w:val="000000"/>
          <w:sz w:val="20"/>
          <w:lang w:val="en-US"/>
        </w:rPr>
        <w:t>NCSC-</w:t>
      </w:r>
      <w:proofErr w:type="spellStart"/>
      <w:r w:rsidRPr="00B12EB1">
        <w:rPr>
          <w:rFonts w:cs="Arial"/>
          <w:b/>
          <w:bCs/>
          <w:color w:val="000000"/>
          <w:sz w:val="20"/>
          <w:lang w:val="en-US"/>
        </w:rPr>
        <w:t>WhitepaperCloudcomputing</w:t>
      </w:r>
      <w:proofErr w:type="spellEnd"/>
      <w:r w:rsidRPr="00B12EB1">
        <w:rPr>
          <w:rFonts w:cs="Arial"/>
          <w:b/>
          <w:bCs/>
          <w:color w:val="000000"/>
          <w:sz w:val="20"/>
          <w:lang w:val="en-US"/>
        </w:rPr>
        <w:t xml:space="preserve"> – Whitepaper </w:t>
      </w:r>
      <w:proofErr w:type="spellStart"/>
      <w:r w:rsidRPr="00B12EB1">
        <w:rPr>
          <w:rFonts w:cs="Arial"/>
          <w:b/>
          <w:bCs/>
          <w:color w:val="000000"/>
          <w:sz w:val="20"/>
          <w:lang w:val="en-US"/>
        </w:rPr>
        <w:t>Cloudcomputing</w:t>
      </w:r>
      <w:proofErr w:type="spellEnd"/>
      <w:r w:rsidRPr="00B12EB1">
        <w:rPr>
          <w:rFonts w:cs="Arial"/>
          <w:b/>
          <w:bCs/>
          <w:color w:val="000000"/>
          <w:sz w:val="20"/>
          <w:lang w:val="en-US"/>
        </w:rPr>
        <w:t xml:space="preserve"> &amp; security (</w:t>
      </w:r>
      <w:proofErr w:type="spellStart"/>
      <w:r w:rsidRPr="00B12EB1">
        <w:rPr>
          <w:rFonts w:cs="Arial"/>
          <w:b/>
          <w:bCs/>
          <w:color w:val="000000"/>
          <w:sz w:val="20"/>
          <w:lang w:val="en-US"/>
        </w:rPr>
        <w:t>januari</w:t>
      </w:r>
      <w:proofErr w:type="spellEnd"/>
      <w:r w:rsidRPr="00B12EB1">
        <w:rPr>
          <w:rFonts w:cs="Arial"/>
          <w:b/>
          <w:bCs/>
          <w:color w:val="000000"/>
          <w:sz w:val="20"/>
          <w:lang w:val="en-US"/>
        </w:rPr>
        <w:t xml:space="preserve"> 2012)</w:t>
      </w:r>
    </w:p>
    <w:p w:rsidR="00B12EB1" w:rsidRP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  <w:lang w:val="en-US"/>
        </w:rPr>
      </w:pPr>
      <w:r w:rsidRPr="00B12EB1">
        <w:rPr>
          <w:rFonts w:cs="Arial"/>
          <w:color w:val="000000"/>
          <w:sz w:val="20"/>
          <w:lang w:val="en-US"/>
        </w:rPr>
        <w:t xml:space="preserve"> 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Biedt wat meer verdieping (zeker op het gebied van </w:t>
      </w:r>
      <w:proofErr w:type="spellStart"/>
      <w:r>
        <w:rPr>
          <w:rFonts w:cs="Arial"/>
          <w:color w:val="000000"/>
          <w:sz w:val="20"/>
        </w:rPr>
        <w:t>compliancy</w:t>
      </w:r>
      <w:proofErr w:type="spellEnd"/>
      <w:r>
        <w:rPr>
          <w:rFonts w:cs="Arial"/>
          <w:color w:val="000000"/>
          <w:sz w:val="20"/>
        </w:rPr>
        <w:t xml:space="preserve"> geven hoofdstuk 4 en Bijlage E wat meer inzicht)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Is wel meer gericht op het rijk en het document is inmiddels 5 jaar oud.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 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b/>
          <w:bCs/>
          <w:color w:val="000000"/>
          <w:sz w:val="20"/>
        </w:rPr>
      </w:pPr>
      <w:r>
        <w:rPr>
          <w:rFonts w:cs="Arial"/>
          <w:b/>
          <w:bCs/>
          <w:color w:val="000000"/>
          <w:sz w:val="20"/>
        </w:rPr>
        <w:t>Clouddiensten-van-de-Rijksoverheid-en-de-rol-van-de-IT-auditor-1.0 - Clouddiensten van de Rijksoverheid en de rol van de IT-auditor (december 2013)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 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Interessant document! Met name hoofdstuk 3: </w:t>
      </w:r>
      <w:proofErr w:type="spellStart"/>
      <w:r>
        <w:rPr>
          <w:rFonts w:cs="Arial"/>
          <w:color w:val="000000"/>
          <w:sz w:val="20"/>
        </w:rPr>
        <w:t>cloudstrategie</w:t>
      </w:r>
      <w:proofErr w:type="spellEnd"/>
      <w:r>
        <w:rPr>
          <w:rFonts w:cs="Arial"/>
          <w:color w:val="000000"/>
          <w:sz w:val="20"/>
        </w:rPr>
        <w:t xml:space="preserve"> van de rijksoverheid: De </w:t>
      </w:r>
      <w:proofErr w:type="spellStart"/>
      <w:r>
        <w:rPr>
          <w:rFonts w:cs="Arial"/>
          <w:color w:val="000000"/>
          <w:sz w:val="20"/>
        </w:rPr>
        <w:t>cloudstrategie</w:t>
      </w:r>
      <w:proofErr w:type="spellEnd"/>
      <w:r>
        <w:rPr>
          <w:rFonts w:cs="Arial"/>
          <w:color w:val="000000"/>
          <w:sz w:val="20"/>
        </w:rPr>
        <w:t xml:space="preserve"> van de Rijksoverheid schrijft voor dat overheidsgegevens altijd worden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opgeslagen in de gesloten </w:t>
      </w:r>
      <w:proofErr w:type="spellStart"/>
      <w:r>
        <w:rPr>
          <w:rFonts w:cs="Arial"/>
          <w:color w:val="000000"/>
          <w:sz w:val="20"/>
        </w:rPr>
        <w:t>Rijkscloud</w:t>
      </w:r>
      <w:proofErr w:type="spellEnd"/>
      <w:r>
        <w:rPr>
          <w:rFonts w:cs="Arial"/>
          <w:color w:val="000000"/>
          <w:sz w:val="20"/>
        </w:rPr>
        <w:t>.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 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Gemeenten wijken hier dus van af. Er zijn zelfs “</w:t>
      </w:r>
      <w:proofErr w:type="spellStart"/>
      <w:r>
        <w:rPr>
          <w:rFonts w:cs="Arial"/>
          <w:color w:val="000000"/>
          <w:sz w:val="20"/>
        </w:rPr>
        <w:t>cloudgemeenten</w:t>
      </w:r>
      <w:proofErr w:type="spellEnd"/>
      <w:r>
        <w:rPr>
          <w:rFonts w:cs="Arial"/>
          <w:color w:val="000000"/>
          <w:sz w:val="20"/>
        </w:rPr>
        <w:t xml:space="preserve">” (Werkendam en Urk schieten te binnen) die een groot deel van de architectuur bij een leverancier hebben ondergebracht. 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Waarmee de rol van Auditing bijv. nog essentiëler wordt.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 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b/>
          <w:bCs/>
          <w:color w:val="000000"/>
          <w:sz w:val="20"/>
        </w:rPr>
      </w:pPr>
      <w:r>
        <w:rPr>
          <w:rFonts w:cs="Arial"/>
          <w:b/>
          <w:bCs/>
          <w:color w:val="000000"/>
          <w:sz w:val="20"/>
        </w:rPr>
        <w:t xml:space="preserve">20160614_Onderzoek_Office365_v1 – </w:t>
      </w:r>
      <w:proofErr w:type="spellStart"/>
      <w:r>
        <w:rPr>
          <w:rFonts w:cs="Arial"/>
          <w:b/>
          <w:bCs/>
          <w:color w:val="000000"/>
          <w:sz w:val="20"/>
        </w:rPr>
        <w:t>Compliancy</w:t>
      </w:r>
      <w:proofErr w:type="spellEnd"/>
      <w:r>
        <w:rPr>
          <w:rFonts w:cs="Arial"/>
          <w:b/>
          <w:bCs/>
          <w:color w:val="000000"/>
          <w:sz w:val="20"/>
        </w:rPr>
        <w:t xml:space="preserve"> onderzoek gemeente Breda Office 365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 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Een document dat door collega’s is opgesteld en kaders geeft rondom de inzet van Office 365. Andere gemeenten hebben dit ook gedaan of zijn hier nog mee bezig. 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Het rijk gaat O365 aanbieden vanuit de “</w:t>
      </w:r>
      <w:proofErr w:type="spellStart"/>
      <w:r>
        <w:rPr>
          <w:rFonts w:cs="Arial"/>
          <w:color w:val="000000"/>
          <w:sz w:val="20"/>
        </w:rPr>
        <w:t>rijkscloud</w:t>
      </w:r>
      <w:proofErr w:type="spellEnd"/>
      <w:r>
        <w:rPr>
          <w:rFonts w:cs="Arial"/>
          <w:color w:val="000000"/>
          <w:sz w:val="20"/>
        </w:rPr>
        <w:t>”, alle data blijft in eigen beheer. Gemeenten hebben deze mogelijkheid (nog) niet.</w:t>
      </w:r>
    </w:p>
    <w:p w:rsidR="00B12EB1" w:rsidRDefault="00B12EB1" w:rsidP="00B12EB1">
      <w:pPr>
        <w:autoSpaceDE w:val="0"/>
        <w:autoSpaceDN w:val="0"/>
        <w:adjustRightInd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 </w:t>
      </w:r>
    </w:p>
    <w:p w:rsidR="00D930A5" w:rsidRDefault="00526DCC">
      <w:r>
        <w:t xml:space="preserve">VIAG </w:t>
      </w:r>
    </w:p>
    <w:p w:rsidR="00526DCC" w:rsidRDefault="00526DCC">
      <w:r>
        <w:t xml:space="preserve">Ook binnen de VIAG is al de nodige inspanning verricht in het krijgen van inzicht in “de </w:t>
      </w:r>
      <w:proofErr w:type="spellStart"/>
      <w:r>
        <w:t>cloud</w:t>
      </w:r>
      <w:proofErr w:type="spellEnd"/>
      <w:r>
        <w:t xml:space="preserve">” </w:t>
      </w:r>
    </w:p>
    <w:p w:rsidR="00B12EB1" w:rsidRDefault="00526DCC">
      <w:hyperlink r:id="rId10" w:history="1">
        <w:r w:rsidRPr="00D20F6F">
          <w:rPr>
            <w:rStyle w:val="Hyperlink"/>
          </w:rPr>
          <w:t>https://www.viag.nl/kennisbank/cloud</w:t>
        </w:r>
      </w:hyperlink>
    </w:p>
    <w:p w:rsidR="00526DCC" w:rsidRDefault="00526DCC">
      <w:r>
        <w:t>(Let op linkje werkt alleen als je VIAG Lid bent en bent ingelogd op de site)</w:t>
      </w:r>
    </w:p>
    <w:p w:rsidR="00526DCC" w:rsidRDefault="00526DCC"/>
    <w:p w:rsidR="00526DCC" w:rsidRDefault="00526DCC"/>
    <w:p w:rsidR="00526DCC" w:rsidRDefault="00526DCC"/>
    <w:p w:rsidR="00526DCC" w:rsidRPr="00D930A5" w:rsidRDefault="00526DCC"/>
    <w:sectPr w:rsidR="00526DCC" w:rsidRPr="00D930A5">
      <w:headerReference w:type="even" r:id="rId11"/>
      <w:head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0A5" w:rsidRDefault="00D930A5">
      <w:r>
        <w:separator/>
      </w:r>
    </w:p>
  </w:endnote>
  <w:endnote w:type="continuationSeparator" w:id="0">
    <w:p w:rsidR="00D930A5" w:rsidRDefault="00D93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0A5" w:rsidRDefault="00D930A5">
      <w:r>
        <w:separator/>
      </w:r>
    </w:p>
  </w:footnote>
  <w:footnote w:type="continuationSeparator" w:id="0">
    <w:p w:rsidR="00D930A5" w:rsidRDefault="00D93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068" w:rsidRDefault="00CF07B4">
    <w:pPr>
      <w:pStyle w:val="Kop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4A3068" w:rsidRDefault="004A3068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068" w:rsidRDefault="00CF07B4">
    <w:pPr>
      <w:pStyle w:val="Kop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E7085D"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4A3068" w:rsidRDefault="004A306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DAuthorID" w:val="9D8AD5FC8E11474E9D1B78769CF4F1A3"/>
    <w:docVar w:name="SDTemplateGroupID" w:val="0CF846C9E2654CBD86F9EF4D0FB88333"/>
    <w:docVar w:name="SDTemplateID" w:val="19B0109F6D03410A852C9232517CAA9E"/>
    <w:docVar w:name="SDTypistID" w:val="9D8AD5FC8E11474E9D1B78769CF4F1A3"/>
    <w:docVar w:name="SDUserGroupID" w:val="182A0FD4777E4A8AABD7FAE23AEFC539"/>
  </w:docVars>
  <w:rsids>
    <w:rsidRoot w:val="00D930A5"/>
    <w:rsid w:val="0040533B"/>
    <w:rsid w:val="004A3068"/>
    <w:rsid w:val="00526DCC"/>
    <w:rsid w:val="00B12EB1"/>
    <w:rsid w:val="00CF07B4"/>
    <w:rsid w:val="00D930A5"/>
    <w:rsid w:val="00E7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rFonts w:ascii="Arial" w:hAnsi="Arial"/>
      <w:sz w:val="21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semiHidden/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  <w:style w:type="paragraph" w:customStyle="1" w:styleId="Vet">
    <w:name w:val="Vet"/>
    <w:basedOn w:val="Standaard"/>
    <w:next w:val="Standaard"/>
    <w:rPr>
      <w:b/>
    </w:rPr>
  </w:style>
  <w:style w:type="paragraph" w:customStyle="1" w:styleId="Documenttype">
    <w:name w:val="Documenttype"/>
    <w:basedOn w:val="Standaard"/>
    <w:next w:val="Standaard"/>
    <w:pPr>
      <w:jc w:val="center"/>
    </w:pPr>
    <w:rPr>
      <w:b/>
      <w:caps/>
      <w:spacing w:val="40"/>
      <w:sz w:val="32"/>
    </w:rPr>
  </w:style>
  <w:style w:type="paragraph" w:customStyle="1" w:styleId="Lijn">
    <w:name w:val="Lijn"/>
    <w:basedOn w:val="Standaard"/>
    <w:pPr>
      <w:pBdr>
        <w:bottom w:val="single" w:sz="4" w:space="1" w:color="auto"/>
      </w:pBdr>
    </w:pPr>
  </w:style>
  <w:style w:type="paragraph" w:customStyle="1" w:styleId="Tussenkop">
    <w:name w:val="Tussenkop"/>
    <w:basedOn w:val="Standaard"/>
    <w:next w:val="Standaard"/>
    <w:pPr>
      <w:spacing w:line="360" w:lineRule="auto"/>
    </w:pPr>
    <w:rPr>
      <w:u w:val="single"/>
    </w:rPr>
  </w:style>
  <w:style w:type="paragraph" w:customStyle="1" w:styleId="Toelichting">
    <w:name w:val="Toelichting"/>
    <w:basedOn w:val="Standaard"/>
    <w:next w:val="Standaard"/>
    <w:rPr>
      <w:i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930A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30A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30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rFonts w:ascii="Arial" w:hAnsi="Arial"/>
      <w:sz w:val="21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semiHidden/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  <w:style w:type="paragraph" w:customStyle="1" w:styleId="Vet">
    <w:name w:val="Vet"/>
    <w:basedOn w:val="Standaard"/>
    <w:next w:val="Standaard"/>
    <w:rPr>
      <w:b/>
    </w:rPr>
  </w:style>
  <w:style w:type="paragraph" w:customStyle="1" w:styleId="Documenttype">
    <w:name w:val="Documenttype"/>
    <w:basedOn w:val="Standaard"/>
    <w:next w:val="Standaard"/>
    <w:pPr>
      <w:jc w:val="center"/>
    </w:pPr>
    <w:rPr>
      <w:b/>
      <w:caps/>
      <w:spacing w:val="40"/>
      <w:sz w:val="32"/>
    </w:rPr>
  </w:style>
  <w:style w:type="paragraph" w:customStyle="1" w:styleId="Lijn">
    <w:name w:val="Lijn"/>
    <w:basedOn w:val="Standaard"/>
    <w:pPr>
      <w:pBdr>
        <w:bottom w:val="single" w:sz="4" w:space="1" w:color="auto"/>
      </w:pBdr>
    </w:pPr>
  </w:style>
  <w:style w:type="paragraph" w:customStyle="1" w:styleId="Tussenkop">
    <w:name w:val="Tussenkop"/>
    <w:basedOn w:val="Standaard"/>
    <w:next w:val="Standaard"/>
    <w:pPr>
      <w:spacing w:line="360" w:lineRule="auto"/>
    </w:pPr>
    <w:rPr>
      <w:u w:val="single"/>
    </w:rPr>
  </w:style>
  <w:style w:type="paragraph" w:customStyle="1" w:styleId="Toelichting">
    <w:name w:val="Toelichting"/>
    <w:basedOn w:val="Standaard"/>
    <w:next w:val="Standaard"/>
    <w:rPr>
      <w:i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930A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30A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3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lsrijcken.nl/actueel/persberichten/dataopslag-in-de-cloud-voor-gemeenten-weer-een-stap-dichterbij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icrosoft%20Cloud%20-%20Azure%20and%20Office%20365%20BIR-2012%20Baseline%20Coverage.pdf" TargetMode="Externa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viag.nl/kennisbank/clou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ip-overheid.nl/wp-content/uploads/2014/08/Clouddiensten-van-de-Rijksoverheid-en-de-rol-van-de-IT-auditor-1.0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548056EF</Template>
  <TotalTime>186</TotalTime>
  <Pages>2</Pages>
  <Words>531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High Concept</Company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Heimering</dc:creator>
  <cp:lastModifiedBy>Rob Heimering</cp:lastModifiedBy>
  <cp:revision>2</cp:revision>
  <dcterms:created xsi:type="dcterms:W3CDTF">2017-04-18T11:49:00Z</dcterms:created>
  <dcterms:modified xsi:type="dcterms:W3CDTF">2017-04-19T14:53:00Z</dcterms:modified>
</cp:coreProperties>
</file>